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35" w:rsidRDefault="00EF2435" w:rsidP="00EF2435">
      <w:pPr>
        <w:jc w:val="center"/>
      </w:pPr>
      <w:r w:rsidRPr="00BE4EE5">
        <w:rPr>
          <w:rFonts w:asciiTheme="majorEastAsia" w:eastAsiaTheme="majorEastAsia" w:hAnsiTheme="majorEastAsia" w:cs="Arial"/>
          <w:b/>
          <w:bCs/>
          <w:color w:val="111111"/>
          <w:kern w:val="36"/>
          <w:sz w:val="28"/>
          <w:szCs w:val="28"/>
        </w:rPr>
        <w:t>21世纪思想政治教育专业系列教材:思想政治教育学原理</w:t>
      </w:r>
    </w:p>
    <w:p w:rsidR="00633C40" w:rsidRPr="00EF2435" w:rsidRDefault="00704E5A" w:rsidP="00EF2435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hyperlink r:id="rId7" w:tgtFrame="_blank" w:history="1">
        <w:r w:rsidR="00EF2435" w:rsidRPr="00EF2435">
          <w:rPr>
            <w:rStyle w:val="a5"/>
            <w:rFonts w:ascii="Arial" w:hAnsi="Arial" w:cs="Arial"/>
            <w:color w:val="005AA0"/>
            <w:sz w:val="28"/>
            <w:szCs w:val="28"/>
            <w:shd w:val="clear" w:color="auto" w:fill="FFFFFF"/>
          </w:rPr>
          <w:t>陈万柏</w:t>
        </w:r>
      </w:hyperlink>
      <w:r w:rsidR="00EF2435"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，</w:t>
      </w:r>
      <w:hyperlink r:id="rId8" w:tgtFrame="_blank" w:history="1">
        <w:r w:rsidR="00EF2435" w:rsidRPr="00EF2435">
          <w:rPr>
            <w:rStyle w:val="a5"/>
            <w:rFonts w:ascii="Arial" w:hAnsi="Arial" w:cs="Arial"/>
            <w:color w:val="005AA0"/>
            <w:sz w:val="28"/>
            <w:szCs w:val="28"/>
            <w:shd w:val="clear" w:color="auto" w:fill="FFFFFF"/>
          </w:rPr>
          <w:t>张耀灿</w:t>
        </w:r>
      </w:hyperlink>
      <w:r w:rsidR="00EF2435" w:rsidRPr="00EF2435">
        <w:rPr>
          <w:rStyle w:val="apple-converted-space"/>
          <w:rFonts w:ascii="Arial" w:hAnsi="Arial" w:cs="Arial"/>
          <w:color w:val="666666"/>
          <w:sz w:val="28"/>
          <w:szCs w:val="28"/>
          <w:shd w:val="clear" w:color="auto" w:fill="FFFFFF"/>
        </w:rPr>
        <w:t> </w:t>
      </w:r>
      <w:r w:rsidR="00EF2435"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编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出版社：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 </w:t>
      </w:r>
      <w:hyperlink r:id="rId9" w:tgtFrame="_blank" w:tooltip="中国人民大学出版社" w:history="1">
        <w:r w:rsidRPr="00EF2435">
          <w:rPr>
            <w:rFonts w:ascii="Arial" w:eastAsia="宋体" w:hAnsi="Arial" w:cs="Arial"/>
            <w:color w:val="005AA0"/>
            <w:kern w:val="0"/>
            <w:sz w:val="28"/>
            <w:szCs w:val="28"/>
          </w:rPr>
          <w:t>中国人民大学出版社</w:t>
        </w:r>
      </w:hyperlink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ISBN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9787300162898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版次：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1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商品编码：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11155306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包装：平装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开本：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16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开</w:t>
      </w:r>
    </w:p>
    <w:p w:rsidR="00EF2435" w:rsidRPr="00EF2435" w:rsidRDefault="00EF2435" w:rsidP="00EF2435">
      <w:pPr>
        <w:widowControl/>
        <w:numPr>
          <w:ilvl w:val="0"/>
          <w:numId w:val="1"/>
        </w:numPr>
        <w:pBdr>
          <w:top w:val="dotted" w:sz="6" w:space="15" w:color="DDDDDD"/>
        </w:pBdr>
        <w:shd w:val="clear" w:color="auto" w:fill="FFFFFF"/>
        <w:spacing w:line="330" w:lineRule="atLeast"/>
        <w:ind w:left="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出版时间：</w:t>
      </w:r>
      <w:r w:rsidRPr="00EF2435">
        <w:rPr>
          <w:rFonts w:ascii="Arial" w:eastAsia="宋体" w:hAnsi="Arial" w:cs="Arial"/>
          <w:color w:val="666666"/>
          <w:kern w:val="0"/>
          <w:sz w:val="28"/>
          <w:szCs w:val="28"/>
        </w:rPr>
        <w:t>2013-01-01</w:t>
      </w:r>
    </w:p>
    <w:tbl>
      <w:tblPr>
        <w:tblW w:w="106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4C7F1C" w:rsidRPr="004C7F1C" w:rsidTr="004C7F1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4C7F1C" w:rsidRPr="004C7F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7F1C" w:rsidRPr="004C7F1C" w:rsidRDefault="004C7F1C" w:rsidP="004C7F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C7F1C">
                    <w:rPr>
                      <w:rFonts w:ascii="宋体" w:eastAsia="宋体" w:hAnsi="宋体" w:cs="宋体" w:hint="eastAsia"/>
                      <w:b/>
                      <w:bCs/>
                      <w:color w:val="404040"/>
                      <w:kern w:val="0"/>
                      <w:szCs w:val="21"/>
                    </w:rPr>
                    <w:t>作者简介</w:t>
                  </w:r>
                </w:p>
              </w:tc>
            </w:tr>
          </w:tbl>
          <w:p w:rsidR="004C7F1C" w:rsidRPr="004C7F1C" w:rsidRDefault="004C7F1C" w:rsidP="004C7F1C">
            <w:pPr>
              <w:widowControl/>
              <w:jc w:val="left"/>
              <w:rPr>
                <w:rFonts w:ascii="宋体" w:eastAsia="宋体" w:hAnsi="宋体" w:cs="宋体" w:hint="eastAsia"/>
                <w:color w:val="404040"/>
                <w:kern w:val="0"/>
                <w:sz w:val="18"/>
                <w:szCs w:val="18"/>
              </w:rPr>
            </w:pPr>
          </w:p>
        </w:tc>
      </w:tr>
      <w:tr w:rsidR="004C7F1C" w:rsidRPr="004C7F1C" w:rsidTr="004C7F1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4C7F1C" w:rsidRPr="004C7F1C" w:rsidRDefault="004C7F1C" w:rsidP="004C7F1C">
            <w:pPr>
              <w:widowControl/>
              <w:spacing w:before="90" w:after="375" w:line="320" w:lineRule="atLeast"/>
              <w:ind w:left="225" w:right="150" w:firstLineChars="150" w:firstLine="420"/>
              <w:jc w:val="left"/>
              <w:rPr>
                <w:rFonts w:ascii="宋体" w:eastAsia="宋体" w:hAnsi="宋体" w:cs="宋体"/>
                <w:color w:val="404040"/>
                <w:kern w:val="0"/>
                <w:sz w:val="18"/>
                <w:szCs w:val="18"/>
              </w:rPr>
            </w:pPr>
            <w:r w:rsidRPr="004C7F1C">
              <w:rPr>
                <w:rFonts w:ascii="Arial" w:hAnsi="Arial" w:cs="Arial" w:hint="eastAsia"/>
                <w:color w:val="666666"/>
                <w:sz w:val="28"/>
                <w:szCs w:val="28"/>
                <w:shd w:val="clear" w:color="auto" w:fill="FFFFFF"/>
              </w:rPr>
              <w:t>陈万柏，华中师范大学政法学院教授，思想政治教育专业硕士点负责人，主要从事思想政治教育基本</w:t>
            </w:r>
            <w:r>
              <w:rPr>
                <w:rFonts w:ascii="Arial" w:hAnsi="Arial" w:cs="Arial" w:hint="eastAsia"/>
                <w:color w:val="666666"/>
                <w:sz w:val="28"/>
                <w:szCs w:val="28"/>
                <w:shd w:val="clear" w:color="auto" w:fill="FFFFFF"/>
              </w:rPr>
              <w:t>理论和社会工作与思想政治教育两个方向的教学和研究。主要著作有：</w:t>
            </w:r>
            <w:r w:rsidRPr="004C7F1C">
              <w:rPr>
                <w:rFonts w:ascii="Arial" w:hAnsi="Arial" w:cs="Arial" w:hint="eastAsia"/>
                <w:color w:val="666666"/>
                <w:sz w:val="28"/>
                <w:szCs w:val="28"/>
                <w:shd w:val="clear" w:color="auto" w:fill="FFFFFF"/>
              </w:rPr>
              <w:t>《思想政治教育载体论》、《现代思想政治教育学》、《思想政治教育学原理新编》等。</w:t>
            </w:r>
            <w:r w:rsidRPr="004C7F1C">
              <w:rPr>
                <w:rFonts w:ascii="Arial" w:hAnsi="Arial" w:cs="Arial" w:hint="eastAsia"/>
                <w:color w:val="666666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C7F1C" w:rsidRDefault="00EF2435" w:rsidP="004C7F1C">
      <w:pPr>
        <w:widowControl/>
        <w:pBdr>
          <w:top w:val="dotted" w:sz="6" w:space="15" w:color="DDDDDD"/>
        </w:pBdr>
        <w:shd w:val="clear" w:color="auto" w:fill="FFFFFF"/>
        <w:spacing w:line="330" w:lineRule="atLeast"/>
        <w:jc w:val="center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EF2435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内容摘要</w:t>
      </w:r>
    </w:p>
    <w:p w:rsidR="00EF2435" w:rsidRPr="004C7F1C" w:rsidRDefault="00EF2435" w:rsidP="004C7F1C">
      <w:pPr>
        <w:widowControl/>
        <w:pBdr>
          <w:top w:val="dotted" w:sz="6" w:space="15" w:color="DDDDDD"/>
        </w:pBdr>
        <w:shd w:val="clear" w:color="auto" w:fill="FFFFFF"/>
        <w:spacing w:line="330" w:lineRule="atLeast"/>
        <w:jc w:val="center"/>
        <w:rPr>
          <w:rFonts w:ascii="Arial" w:eastAsia="宋体" w:hAnsi="Arial" w:cs="Arial"/>
          <w:color w:val="666666"/>
          <w:kern w:val="0"/>
          <w:sz w:val="28"/>
          <w:szCs w:val="28"/>
        </w:rPr>
      </w:pPr>
      <w:bookmarkStart w:id="0" w:name="_GoBack"/>
      <w:bookmarkEnd w:id="0"/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《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21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世纪思想政治教育专业系列教材：思想政治教育学原理》编写的指导理念是坚持以马克思列宁主义、毛泽东思想和中国特色社会主义理论体系为指导，深入贯彻落实科学发展观，以社会主义核心价值体系引领教材建设。在编写中，加强从整体上学习、研究、把握马克思主义理论的科学体系，并运用其研究成果来指导思想政治教育学科建设；坚持以人为本，以学生的成人成才发展为本，为中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lastRenderedPageBreak/>
        <w:t>国特色社会主义事业培育高素质的思想政治教育专门人才服务；从抓好思想政治教育专业主干课程的教材建设做起，逐步拓展、深化，努力探索马克思主义理论体系、思想政治教育理论体系转化为课程体系、教材体系的规律；探索研究性学习的教材特点，关注思想政治教育实践的时代课题，吸取思想政治教育学科理论发展的新成果，在教材内容、编写体例、呈现方式上改革创新；打通思想政治教育专业师范性与非师范性的界限，增强教材的专业适应性。</w:t>
      </w:r>
    </w:p>
    <w:p w:rsidR="00EF2435" w:rsidRPr="00EF2435" w:rsidRDefault="00EF2435" w:rsidP="00EF2435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EF2435"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>目录</w:t>
      </w:r>
    </w:p>
    <w:p w:rsidR="00EF2435" w:rsidRPr="00EF2435" w:rsidRDefault="00EF2435" w:rsidP="00EF2435">
      <w:pPr>
        <w:rPr>
          <w:rFonts w:asciiTheme="majorEastAsia" w:eastAsiaTheme="majorEastAsia" w:hAnsiTheme="majorEastAsia" w:cs="Arial"/>
          <w:color w:val="333333"/>
          <w:sz w:val="28"/>
          <w:szCs w:val="28"/>
          <w:shd w:val="clear" w:color="auto" w:fill="FFFFFF"/>
        </w:rPr>
      </w:pP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导论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思想政治教育学的研究对象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思想政治教育学的学科体系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思想政治教育学发展简史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第四节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思想政治教育学的研究方法和研究意义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思想政治教育学的理论基础与知识借鉴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马克思主义是思想政治教育学的理论基础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思想政治教育学的直接理论依据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思想政治教育学对相关学科的知识借鉴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思想政治教育的地位和功能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思想政治教育的本质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思想政治教育的地位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lastRenderedPageBreak/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思想政治教育的功能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第四章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思想政治教育目的和任务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思想政治教育目的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思想政治教育任务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第五章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思想政治教育环境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思想政治教育环境的特征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宏观环境对思想政治教育的影响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微观环境对思想政治教育的影响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第四节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思想政治教育环境的优化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第六章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思想政治教育者与教育对象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思想政治教育者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思想政治教育对象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思想政治教育者与教育对象的关系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第七章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思想政治教育内容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思想政治教育内容概述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世界观教育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政治观教育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第四节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人生观教育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lastRenderedPageBreak/>
        <w:t>第五节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法制观教育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第六节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道德观教育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第八章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思想政治教育原则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思想政治教育原则的特征和依据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思想政治教育的主要原则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第九章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思想政治教育方法和艺术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思想政治教育方法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思想政治教育艺术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第十章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思想政治教育载体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思想政治教育载体的内涵与特征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思想政治教育的主要载体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思想政治教育载体的运用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第十一章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思想政治教育过程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第一节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人的思想品德形成与发展过程及规律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第二节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思想政治教育过程的特征与环节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第三节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思想政治教育过程的矛盾与规律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第十二章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t>思想政治教育管理</w:t>
      </w:r>
      <w:r w:rsidRPr="00EF2435">
        <w:rPr>
          <w:rFonts w:ascii="Arial" w:hAnsi="Arial" w:cs="Arial"/>
          <w:color w:val="666666"/>
          <w:sz w:val="28"/>
          <w:szCs w:val="28"/>
        </w:rPr>
        <w:br/>
      </w:r>
      <w:r w:rsidRPr="00EF2435">
        <w:rPr>
          <w:rFonts w:ascii="Arial" w:hAnsi="Arial" w:cs="Arial"/>
          <w:color w:val="666666"/>
          <w:sz w:val="28"/>
          <w:szCs w:val="28"/>
          <w:shd w:val="clear" w:color="auto" w:fill="FFFFFF"/>
        </w:rPr>
        <w:lastRenderedPageBreak/>
        <w:t>后记</w:t>
      </w:r>
    </w:p>
    <w:p w:rsidR="00EF2435" w:rsidRPr="00EF2435" w:rsidRDefault="00EF2435"/>
    <w:sectPr w:rsidR="00EF2435" w:rsidRPr="00EF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5A" w:rsidRDefault="00704E5A" w:rsidP="00EF2435">
      <w:r>
        <w:separator/>
      </w:r>
    </w:p>
  </w:endnote>
  <w:endnote w:type="continuationSeparator" w:id="0">
    <w:p w:rsidR="00704E5A" w:rsidRDefault="00704E5A" w:rsidP="00EF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5A" w:rsidRDefault="00704E5A" w:rsidP="00EF2435">
      <w:r>
        <w:separator/>
      </w:r>
    </w:p>
  </w:footnote>
  <w:footnote w:type="continuationSeparator" w:id="0">
    <w:p w:rsidR="00704E5A" w:rsidRDefault="00704E5A" w:rsidP="00EF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065"/>
    <w:multiLevelType w:val="multilevel"/>
    <w:tmpl w:val="9EDE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94"/>
    <w:rsid w:val="00294B94"/>
    <w:rsid w:val="004C7F1C"/>
    <w:rsid w:val="00633C40"/>
    <w:rsid w:val="00704E5A"/>
    <w:rsid w:val="00EC1B2E"/>
    <w:rsid w:val="00E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8CD291-1776-42DA-A4F5-6C11D13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4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24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435"/>
  </w:style>
  <w:style w:type="paragraph" w:styleId="a6">
    <w:name w:val="List Paragraph"/>
    <w:basedOn w:val="a"/>
    <w:uiPriority w:val="34"/>
    <w:qFormat/>
    <w:rsid w:val="00EF2435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C7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writer/%E5%BC%A0%E8%80%80%E7%81%BF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.jd.com/writer/%E9%99%88%E4%B8%87%E6%9F%8F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.jd.com/publish/%E4%B8%AD%E5%9B%BD%E4%BA%BA%E6%B0%91%E5%A4%A7%E5%AD%A6%E5%87%BA%E7%89%88%E7%A4%BE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Pengzx</dc:creator>
  <cp:keywords/>
  <dc:description/>
  <cp:lastModifiedBy>Pengzx</cp:lastModifiedBy>
  <cp:revision>3</cp:revision>
  <dcterms:created xsi:type="dcterms:W3CDTF">2015-12-01T05:34:00Z</dcterms:created>
  <dcterms:modified xsi:type="dcterms:W3CDTF">2015-12-01T05:46:00Z</dcterms:modified>
</cp:coreProperties>
</file>